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8A6" w:rsidRDefault="00FA38A6" w:rsidP="00FA38A6">
      <w:pPr>
        <w:jc w:val="both"/>
        <w:rPr>
          <w:rFonts w:cs="David" w:hint="cs"/>
          <w:sz w:val="26"/>
          <w:szCs w:val="26"/>
          <w:rtl/>
        </w:rPr>
      </w:pPr>
      <w:bookmarkStart w:id="0" w:name="_GoBack"/>
      <w:bookmarkEnd w:id="0"/>
    </w:p>
    <w:p w:rsidR="00FA38A6" w:rsidRPr="00FA38A6" w:rsidRDefault="00FA38A6" w:rsidP="00FA38A6">
      <w:pPr>
        <w:ind w:left="720"/>
        <w:jc w:val="both"/>
        <w:rPr>
          <w:rFonts w:cs="David"/>
          <w:sz w:val="22"/>
          <w:szCs w:val="22"/>
          <w:u w:val="single"/>
        </w:rPr>
      </w:pPr>
      <w:r w:rsidRPr="00FA38A6">
        <w:rPr>
          <w:rFonts w:cs="David" w:hint="cs"/>
          <w:sz w:val="22"/>
          <w:szCs w:val="22"/>
          <w:u w:val="single"/>
          <w:rtl/>
        </w:rPr>
        <w:t>מיקום מוקד המידע:</w:t>
      </w:r>
    </w:p>
    <w:p w:rsidR="00FA38A6" w:rsidRPr="00FA38A6" w:rsidRDefault="00FA38A6" w:rsidP="00FA38A6">
      <w:pPr>
        <w:ind w:left="720"/>
        <w:jc w:val="both"/>
        <w:rPr>
          <w:rFonts w:cs="David"/>
          <w:sz w:val="22"/>
          <w:szCs w:val="22"/>
        </w:rPr>
      </w:pPr>
    </w:p>
    <w:p w:rsidR="00FA38A6" w:rsidRPr="00FA38A6" w:rsidRDefault="00FA38A6" w:rsidP="00FA38A6">
      <w:pPr>
        <w:numPr>
          <w:ilvl w:val="0"/>
          <w:numId w:val="1"/>
        </w:numPr>
        <w:jc w:val="both"/>
        <w:rPr>
          <w:rFonts w:cs="David"/>
          <w:sz w:val="22"/>
          <w:szCs w:val="22"/>
        </w:rPr>
      </w:pPr>
      <w:r w:rsidRPr="00FA38A6">
        <w:rPr>
          <w:rFonts w:cs="David" w:hint="cs"/>
          <w:sz w:val="22"/>
          <w:szCs w:val="22"/>
          <w:rtl/>
        </w:rPr>
        <w:t xml:space="preserve">מנגנון המכרז הציבורי מיישם את עיקרון השוויון המהותי. משמעות העובדה שעורך המכרז רשאי ע"פ חוק להתנות תנאים על הזכות להשתתף במכרז גורמת מבחינה </w:t>
      </w:r>
      <w:r w:rsidRPr="00FA38A6">
        <w:rPr>
          <w:rFonts w:cs="David" w:hint="cs"/>
          <w:sz w:val="22"/>
          <w:szCs w:val="22"/>
          <w:u w:val="single"/>
          <w:rtl/>
        </w:rPr>
        <w:t>פורמאלית</w:t>
      </w:r>
      <w:r w:rsidRPr="00FA38A6">
        <w:rPr>
          <w:rFonts w:cs="David" w:hint="cs"/>
          <w:sz w:val="22"/>
          <w:szCs w:val="22"/>
          <w:rtl/>
        </w:rPr>
        <w:t xml:space="preserve"> לחסימת אפשרות להציע הצעה במכרז ממי שאינו עומד בתנאי ההשתתפות. </w:t>
      </w:r>
      <w:r w:rsidRPr="00FA38A6">
        <w:rPr>
          <w:rFonts w:cs="David" w:hint="cs"/>
          <w:sz w:val="22"/>
          <w:szCs w:val="22"/>
          <w:u w:val="single"/>
          <w:rtl/>
        </w:rPr>
        <w:t>אולם מבחינת השוויון המהותי</w:t>
      </w:r>
      <w:r w:rsidRPr="00FA38A6">
        <w:rPr>
          <w:rFonts w:cs="David" w:hint="cs"/>
          <w:sz w:val="22"/>
          <w:szCs w:val="22"/>
          <w:rtl/>
        </w:rPr>
        <w:t xml:space="preserve"> , כל עוד מדובר בתנאים עניינים לנסיבות העסקה- אין בכך פגיעה בשוויון.</w:t>
      </w:r>
    </w:p>
    <w:p w:rsidR="00FA38A6" w:rsidRPr="00FA38A6" w:rsidRDefault="00FA38A6" w:rsidP="00FA38A6">
      <w:pPr>
        <w:ind w:left="360"/>
        <w:jc w:val="both"/>
        <w:rPr>
          <w:rFonts w:cs="David"/>
          <w:sz w:val="22"/>
          <w:szCs w:val="22"/>
          <w:rtl/>
        </w:rPr>
      </w:pPr>
    </w:p>
    <w:p w:rsidR="00FA38A6" w:rsidRPr="00FA38A6" w:rsidRDefault="00FA38A6" w:rsidP="00FA38A6">
      <w:pPr>
        <w:numPr>
          <w:ilvl w:val="0"/>
          <w:numId w:val="1"/>
        </w:numPr>
        <w:jc w:val="both"/>
        <w:rPr>
          <w:rFonts w:cs="David"/>
          <w:sz w:val="22"/>
          <w:szCs w:val="22"/>
        </w:rPr>
      </w:pPr>
      <w:r w:rsidRPr="00FA38A6">
        <w:rPr>
          <w:rFonts w:cs="David" w:hint="cs"/>
          <w:sz w:val="22"/>
          <w:szCs w:val="22"/>
          <w:rtl/>
        </w:rPr>
        <w:t>בע"א 2087/09 דודו דפוס וכריכה 88א נ' משרד החינוך, פד נד (1) 860, נדונה שאלה דומה לשאלה העולה בנסיבות העניין, ושם קבע בית-המשפט העליון, כי משרד ממשלתי רשאי לקבוע בין תנאי המכרז כי העבודה המוזמנת תתבצע במקום מסוים. (במקרה המתואר בפסק הדין הוגבלה העסקה לאזור העיר ירושלים בלבד) כפי המתואר בפסק- הדין השאלה אם המקום בו יתנהל העסק הוא תנאי ענייני הינה שאלה התלויה בכל מקרה בנסיבות המקרה, ובמסגרת מתחם הסבירות, כאשר באותו המקרה, נקבע כי הייתה סבירות בקביעת התנאי.</w:t>
      </w:r>
    </w:p>
    <w:p w:rsidR="00FA38A6" w:rsidRPr="00FA38A6" w:rsidRDefault="00FA38A6" w:rsidP="00FA38A6">
      <w:pPr>
        <w:jc w:val="both"/>
        <w:rPr>
          <w:rFonts w:cs="David"/>
          <w:sz w:val="22"/>
          <w:szCs w:val="22"/>
          <w:rtl/>
        </w:rPr>
      </w:pPr>
    </w:p>
    <w:p w:rsidR="00FA38A6" w:rsidRPr="00FA38A6" w:rsidRDefault="00FA38A6" w:rsidP="00FA38A6">
      <w:pPr>
        <w:ind w:left="720"/>
        <w:jc w:val="both"/>
        <w:rPr>
          <w:rFonts w:cs="David"/>
          <w:sz w:val="22"/>
          <w:szCs w:val="22"/>
          <w:rtl/>
        </w:rPr>
      </w:pPr>
      <w:r w:rsidRPr="00FA38A6">
        <w:rPr>
          <w:rFonts w:cs="David" w:hint="cs"/>
          <w:sz w:val="22"/>
          <w:szCs w:val="22"/>
          <w:rtl/>
        </w:rPr>
        <w:t>יצוין כי גם תקנה 6(ב) לתקנות חובת מכרזים תשנ"ג- 1993, מאפשרת כתנאי קביעת תנאים ביחס למיקום ניהול העסקים של המציע.</w:t>
      </w:r>
    </w:p>
    <w:p w:rsidR="00FA38A6" w:rsidRPr="00FA38A6" w:rsidRDefault="00FA38A6" w:rsidP="00FA38A6">
      <w:pPr>
        <w:ind w:left="720"/>
        <w:jc w:val="both"/>
        <w:rPr>
          <w:rFonts w:cs="David"/>
          <w:sz w:val="22"/>
          <w:szCs w:val="22"/>
          <w:rtl/>
        </w:rPr>
      </w:pPr>
    </w:p>
    <w:p w:rsidR="00FA38A6" w:rsidRPr="00FA38A6" w:rsidRDefault="00FA38A6" w:rsidP="00FA38A6">
      <w:pPr>
        <w:numPr>
          <w:ilvl w:val="0"/>
          <w:numId w:val="1"/>
        </w:numPr>
        <w:jc w:val="both"/>
        <w:rPr>
          <w:rFonts w:cs="David"/>
          <w:sz w:val="22"/>
          <w:szCs w:val="22"/>
          <w:rtl/>
        </w:rPr>
      </w:pPr>
      <w:r w:rsidRPr="00FA38A6">
        <w:rPr>
          <w:rFonts w:cs="David" w:hint="cs"/>
          <w:sz w:val="22"/>
          <w:szCs w:val="22"/>
          <w:rtl/>
        </w:rPr>
        <w:t xml:space="preserve">בענייננו וכפי העולה ממסמכי המכרז, רשות האכיפה והגבייה שמה לה כמטרת-על את הצורך לשפר את הליכי תפקודו של מוקד השירות והגבייה הקיים היום וכפועל יוצא הוגדרו צרכים מורכבים רבים במכרז הנוכחי. </w:t>
      </w:r>
    </w:p>
    <w:p w:rsidR="00FA38A6" w:rsidRPr="00FA38A6" w:rsidRDefault="00FA38A6" w:rsidP="00FA38A6">
      <w:pPr>
        <w:ind w:left="360"/>
        <w:jc w:val="both"/>
        <w:rPr>
          <w:rFonts w:cs="David"/>
          <w:sz w:val="22"/>
          <w:szCs w:val="22"/>
          <w:rtl/>
        </w:rPr>
      </w:pPr>
      <w:r w:rsidRPr="00FA38A6">
        <w:rPr>
          <w:rFonts w:cs="David" w:hint="cs"/>
          <w:sz w:val="22"/>
          <w:szCs w:val="22"/>
          <w:rtl/>
        </w:rPr>
        <w:t xml:space="preserve">      בין היעדים המורכבים האמורים במכרז: עמידה ברמת שירות ומקצועיות גבוהה   </w:t>
      </w:r>
    </w:p>
    <w:p w:rsidR="00FA38A6" w:rsidRPr="00FA38A6" w:rsidRDefault="00FA38A6" w:rsidP="00FA38A6">
      <w:pPr>
        <w:ind w:left="360"/>
        <w:jc w:val="both"/>
        <w:rPr>
          <w:rFonts w:cs="David"/>
          <w:sz w:val="22"/>
          <w:szCs w:val="22"/>
          <w:rtl/>
        </w:rPr>
      </w:pPr>
      <w:r w:rsidRPr="00FA38A6">
        <w:rPr>
          <w:rFonts w:cs="David" w:hint="cs"/>
          <w:sz w:val="22"/>
          <w:szCs w:val="22"/>
          <w:rtl/>
        </w:rPr>
        <w:t xml:space="preserve">      וכן שיפור מערך הגבייה תוך נקיטת פעולות יזומות.</w:t>
      </w:r>
    </w:p>
    <w:p w:rsidR="00FA38A6" w:rsidRPr="00FA38A6" w:rsidRDefault="00FA38A6" w:rsidP="00FA38A6">
      <w:pPr>
        <w:ind w:left="360"/>
        <w:jc w:val="both"/>
        <w:rPr>
          <w:rFonts w:cs="David"/>
          <w:sz w:val="22"/>
          <w:szCs w:val="22"/>
          <w:rtl/>
        </w:rPr>
      </w:pPr>
    </w:p>
    <w:p w:rsidR="00FA38A6" w:rsidRPr="00FA38A6" w:rsidRDefault="00FA38A6" w:rsidP="00FA38A6">
      <w:pPr>
        <w:numPr>
          <w:ilvl w:val="0"/>
          <w:numId w:val="1"/>
        </w:numPr>
        <w:jc w:val="both"/>
        <w:rPr>
          <w:rFonts w:cs="David"/>
          <w:sz w:val="22"/>
          <w:szCs w:val="22"/>
          <w:rtl/>
        </w:rPr>
      </w:pPr>
      <w:r w:rsidRPr="00FA38A6">
        <w:rPr>
          <w:rFonts w:cs="David" w:hint="cs"/>
          <w:sz w:val="22"/>
          <w:szCs w:val="22"/>
          <w:rtl/>
        </w:rPr>
        <w:t>לצורך עמידה ביעדים ובמטרות האמורים במכרז מונו זה מכבר ע"י הרשות עובדי- מדינה מיוחדים שכל תפקידם הוא פיקוח ובקרה על עבודת מוקד השרות והגבייה (להלן: "המוקד"). כפי שניתן לראות במסמכי המכרז, חלק מתפקידם של אותם בעלי תפקיד שמונו מטעם הרשות לעניין הוא מעורבות בהליכי המיון והגיוס של העובדים שיעבדו במוקד, מעורבות ולקיחת חלק פעיל בהדרכות ובתהליכי ההדרכה שיינתנו לעובדי המוקד.</w:t>
      </w:r>
    </w:p>
    <w:p w:rsidR="00FA38A6" w:rsidRPr="00FA38A6" w:rsidRDefault="00FA38A6" w:rsidP="00FA38A6">
      <w:pPr>
        <w:ind w:left="720"/>
        <w:jc w:val="both"/>
        <w:rPr>
          <w:rFonts w:cs="David"/>
          <w:sz w:val="22"/>
          <w:szCs w:val="22"/>
          <w:rtl/>
        </w:rPr>
      </w:pPr>
      <w:r w:rsidRPr="00FA38A6">
        <w:rPr>
          <w:rFonts w:cs="David" w:hint="cs"/>
          <w:sz w:val="22"/>
          <w:szCs w:val="22"/>
          <w:rtl/>
        </w:rPr>
        <w:t xml:space="preserve">כפי האמור במסמכי המכרז תהיה לנציגי רשות האכיפה והגביה אשר ישבו באתר הספק נגישות מלאה למערכות שונות. </w:t>
      </w:r>
    </w:p>
    <w:p w:rsidR="00FA38A6" w:rsidRPr="00FA38A6" w:rsidRDefault="00FA38A6" w:rsidP="00FA38A6">
      <w:pPr>
        <w:ind w:left="720"/>
        <w:jc w:val="both"/>
        <w:rPr>
          <w:rFonts w:cs="David"/>
          <w:sz w:val="22"/>
          <w:szCs w:val="22"/>
          <w:rtl/>
        </w:rPr>
      </w:pPr>
    </w:p>
    <w:p w:rsidR="00FA38A6" w:rsidRPr="00FA38A6" w:rsidRDefault="00FA38A6" w:rsidP="00FA38A6">
      <w:pPr>
        <w:numPr>
          <w:ilvl w:val="0"/>
          <w:numId w:val="1"/>
        </w:numPr>
        <w:jc w:val="both"/>
        <w:rPr>
          <w:rFonts w:cs="David"/>
          <w:sz w:val="22"/>
          <w:szCs w:val="22"/>
        </w:rPr>
      </w:pPr>
      <w:r w:rsidRPr="00FA38A6">
        <w:rPr>
          <w:rFonts w:cs="David" w:hint="cs"/>
          <w:sz w:val="22"/>
          <w:szCs w:val="22"/>
          <w:rtl/>
        </w:rPr>
        <w:t>הדוגמאות שהובאו לעיל בסעיף 4, הובאו בתמצית שכן הדרישות מפורטות באריכות במכרז, אולם כאמור מטרת העל ששמה לה רשות האכיפה והגביה הינה שיפור הליכי השרות והגביה הניתנים ע"י המוקד ולפיכך כאמור העמידה הרשות עובדים מקצועיים ומיומנים אשר ישמשו מטעמה לצורך פיקוח הדוק ויומיומי על פעילות המוקד, כאשר הרשות סבורה כי לא ניתן לעמוד ביעדים שהציבה הרשות למוקד ולעצמה מבלי פיקוח יומיומי דקדקני זה.</w:t>
      </w:r>
    </w:p>
    <w:p w:rsidR="00FA38A6" w:rsidRPr="00FA38A6" w:rsidRDefault="00FA38A6" w:rsidP="00FA38A6">
      <w:pPr>
        <w:ind w:left="360"/>
        <w:jc w:val="both"/>
        <w:rPr>
          <w:rFonts w:cs="David"/>
          <w:sz w:val="22"/>
          <w:szCs w:val="22"/>
          <w:rtl/>
        </w:rPr>
      </w:pPr>
    </w:p>
    <w:p w:rsidR="00FA38A6" w:rsidRPr="00FA38A6" w:rsidRDefault="00FA38A6" w:rsidP="00FA38A6">
      <w:pPr>
        <w:ind w:left="720"/>
        <w:jc w:val="both"/>
        <w:rPr>
          <w:rFonts w:cs="David"/>
          <w:sz w:val="22"/>
          <w:szCs w:val="22"/>
          <w:rtl/>
        </w:rPr>
      </w:pPr>
      <w:r w:rsidRPr="00FA38A6">
        <w:rPr>
          <w:rFonts w:cs="David" w:hint="cs"/>
          <w:sz w:val="22"/>
          <w:szCs w:val="22"/>
          <w:rtl/>
        </w:rPr>
        <w:t>מטעמים של סבירות בבחירת מיקום המוקד, לא הגבלנו במסמכי המכרז את מקומו של המוקד לעיר מגורי העובדים, אלא הותרנו מרווח של גמישות וסבירות במיקום המוקד, כך שיהיה במיקום המאפשר גישה סבירה מעיר מגוריהם תוך קביעת משולש גיאוגרפי כפי העולה מהשרטוט בנספח למסמכי למכרז.</w:t>
      </w:r>
    </w:p>
    <w:p w:rsidR="00FA38A6" w:rsidRPr="00FA38A6" w:rsidRDefault="00FA38A6" w:rsidP="00FA38A6">
      <w:pPr>
        <w:ind w:left="720"/>
        <w:jc w:val="both"/>
        <w:rPr>
          <w:rFonts w:cs="David"/>
          <w:sz w:val="22"/>
          <w:szCs w:val="22"/>
          <w:rtl/>
        </w:rPr>
      </w:pPr>
    </w:p>
    <w:p w:rsidR="00FA38A6" w:rsidRPr="00FA38A6" w:rsidRDefault="00FA38A6" w:rsidP="00FA38A6">
      <w:pPr>
        <w:numPr>
          <w:ilvl w:val="0"/>
          <w:numId w:val="1"/>
        </w:numPr>
        <w:jc w:val="both"/>
        <w:rPr>
          <w:rFonts w:cs="David"/>
          <w:sz w:val="22"/>
          <w:szCs w:val="22"/>
        </w:rPr>
      </w:pPr>
      <w:r w:rsidRPr="00FA38A6">
        <w:rPr>
          <w:rFonts w:cs="David" w:hint="cs"/>
          <w:sz w:val="22"/>
          <w:szCs w:val="22"/>
          <w:rtl/>
        </w:rPr>
        <w:t>מכאן, שדרישת המיקום, כפי שנקבעה באופן די גמיש במכרז, עומדת במתחם הסבירות המתחייב ובמיוחד לאור המטרות האמורות במכרז ולאור הצורך של הרשות להעמיד עובדים שכל עבודתם היא בפיקוח על עבודת המוקד ושיפור תהליכי העבודה המתבצעים בו, ואשר צריכים להגיע באופן יומיומי למוקד, ומכל מקום אין בדרישת המיקום כפי שהיא מנוסחת במכרז כדי לפגוע בנסיבות המכרז בעיקרון השוויון.</w:t>
      </w:r>
    </w:p>
    <w:p w:rsidR="00FA38A6" w:rsidRPr="00FA38A6" w:rsidRDefault="00FA38A6" w:rsidP="00FA38A6">
      <w:pPr>
        <w:ind w:left="360"/>
        <w:jc w:val="both"/>
        <w:rPr>
          <w:rFonts w:cs="David"/>
          <w:sz w:val="22"/>
          <w:szCs w:val="22"/>
          <w:rtl/>
        </w:rPr>
      </w:pPr>
    </w:p>
    <w:p w:rsidR="00121135" w:rsidRPr="00FA38A6" w:rsidRDefault="00121135">
      <w:pPr>
        <w:rPr>
          <w:rFonts w:cs="David"/>
          <w:sz w:val="22"/>
          <w:szCs w:val="22"/>
        </w:rPr>
      </w:pPr>
    </w:p>
    <w:sectPr w:rsidR="00121135" w:rsidRPr="00FA38A6" w:rsidSect="00631FF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AB5728"/>
    <w:multiLevelType w:val="hybridMultilevel"/>
    <w:tmpl w:val="222C5B4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8A6"/>
    <w:rsid w:val="000976BB"/>
    <w:rsid w:val="00121135"/>
    <w:rsid w:val="0034762B"/>
    <w:rsid w:val="003D1D01"/>
    <w:rsid w:val="00410741"/>
    <w:rsid w:val="00446DD7"/>
    <w:rsid w:val="005905D5"/>
    <w:rsid w:val="00631FF7"/>
    <w:rsid w:val="007E0FB3"/>
    <w:rsid w:val="007F779F"/>
    <w:rsid w:val="00986A72"/>
    <w:rsid w:val="00BD661F"/>
    <w:rsid w:val="00C20CA3"/>
    <w:rsid w:val="00C34000"/>
    <w:rsid w:val="00F16FC3"/>
    <w:rsid w:val="00FA38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38A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38A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447</Words>
  <Characters>2235</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הוצאה לפועל</Company>
  <LinksUpToDate>false</LinksUpToDate>
  <CharactersWithSpaces>2677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כהן</dc:creator>
  <cp:keywords/>
  <dc:description/>
  <cp:lastModifiedBy>ליאת הראל</cp:lastModifiedBy>
  <cp:revision>2</cp:revision>
  <dcterms:created xsi:type="dcterms:W3CDTF">2011-12-28T12:01:00Z</dcterms:created>
  <dcterms:modified xsi:type="dcterms:W3CDTF">2011-12-28T12:01:00Z</dcterms:modified>
</cp:coreProperties>
</file>